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4C0" w:rsidRDefault="002A74C0" w:rsidP="002A74C0">
      <w:pPr>
        <w:shd w:val="clear" w:color="auto" w:fill="FFFFFF"/>
        <w:jc w:val="both"/>
        <w:outlineLvl w:val="0"/>
        <w:rPr>
          <w:sz w:val="24"/>
          <w:szCs w:val="24"/>
        </w:rPr>
      </w:pPr>
      <w:r>
        <w:rPr>
          <w:b/>
          <w:sz w:val="24"/>
          <w:szCs w:val="24"/>
        </w:rPr>
        <w:t>Автор-составитель</w:t>
      </w:r>
      <w:r>
        <w:rPr>
          <w:sz w:val="24"/>
          <w:szCs w:val="24"/>
        </w:rPr>
        <w:t xml:space="preserve">: </w:t>
      </w:r>
    </w:p>
    <w:p w:rsidR="002A74C0" w:rsidRDefault="002A74C0" w:rsidP="002A74C0">
      <w:pPr>
        <w:shd w:val="clear" w:color="auto" w:fill="FFFFFF"/>
        <w:jc w:val="both"/>
        <w:outlineLvl w:val="0"/>
        <w:rPr>
          <w:sz w:val="24"/>
          <w:szCs w:val="24"/>
        </w:rPr>
      </w:pPr>
      <w:proofErr w:type="spellStart"/>
      <w:r>
        <w:rPr>
          <w:sz w:val="24"/>
          <w:szCs w:val="24"/>
        </w:rPr>
        <w:t>Габер</w:t>
      </w:r>
      <w:proofErr w:type="spellEnd"/>
      <w:r>
        <w:rPr>
          <w:sz w:val="24"/>
          <w:szCs w:val="24"/>
        </w:rPr>
        <w:t xml:space="preserve"> И.В., заведующая кафедрой охраны здоровья и ОБЖ </w:t>
      </w:r>
      <w:proofErr w:type="spellStart"/>
      <w:r>
        <w:rPr>
          <w:sz w:val="24"/>
          <w:szCs w:val="24"/>
        </w:rPr>
        <w:t>НИПКиПРО</w:t>
      </w:r>
      <w:proofErr w:type="spellEnd"/>
      <w:r>
        <w:rPr>
          <w:sz w:val="24"/>
          <w:szCs w:val="24"/>
        </w:rPr>
        <w:t>, к.м.н.</w:t>
      </w:r>
    </w:p>
    <w:p w:rsidR="002A74C0" w:rsidRDefault="002A74C0" w:rsidP="002A74C0">
      <w:pPr>
        <w:shd w:val="clear" w:color="auto" w:fill="FFFFFF"/>
        <w:jc w:val="center"/>
        <w:rPr>
          <w:b/>
          <w:sz w:val="28"/>
          <w:szCs w:val="28"/>
        </w:rPr>
      </w:pPr>
    </w:p>
    <w:p w:rsidR="002A74C0" w:rsidRDefault="002A74C0" w:rsidP="003A1715">
      <w:pPr>
        <w:pStyle w:val="a3"/>
        <w:spacing w:before="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2A74C0" w:rsidRDefault="002A74C0" w:rsidP="002A74C0">
      <w:pPr>
        <w:pStyle w:val="a3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2A74C0" w:rsidRDefault="002A74C0" w:rsidP="002A74C0">
      <w:pPr>
        <w:numPr>
          <w:ilvl w:val="0"/>
          <w:numId w:val="1"/>
        </w:num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Исходная оценка наркотизации (</w:t>
      </w:r>
      <w:r>
        <w:rPr>
          <w:b/>
          <w:color w:val="000000"/>
          <w:sz w:val="28"/>
          <w:szCs w:val="28"/>
        </w:rPr>
        <w:t>Латышев Г.В. и др.)</w:t>
      </w:r>
    </w:p>
    <w:p w:rsidR="002A74C0" w:rsidRDefault="002A74C0" w:rsidP="002A74C0">
      <w:pPr>
        <w:shd w:val="clear" w:color="auto" w:fill="FFFFFF"/>
        <w:jc w:val="both"/>
        <w:rPr>
          <w:b/>
          <w:color w:val="000000"/>
          <w:sz w:val="28"/>
          <w:szCs w:val="28"/>
        </w:rPr>
      </w:pPr>
    </w:p>
    <w:p w:rsidR="002A74C0" w:rsidRDefault="002A74C0" w:rsidP="002A74C0">
      <w:pPr>
        <w:shd w:val="clear" w:color="auto" w:fill="FFFFFF"/>
        <w:jc w:val="center"/>
        <w:outlineLvl w:val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АНКЕТА </w:t>
      </w:r>
    </w:p>
    <w:p w:rsidR="002A74C0" w:rsidRDefault="002A74C0" w:rsidP="002A74C0">
      <w:pPr>
        <w:shd w:val="clear" w:color="auto" w:fill="FFFFFF"/>
        <w:jc w:val="center"/>
        <w:rPr>
          <w:b/>
          <w:color w:val="000000"/>
        </w:rPr>
      </w:pPr>
      <w:r>
        <w:rPr>
          <w:b/>
          <w:color w:val="000000"/>
        </w:rPr>
        <w:t>ИСХОДНАЯ   ОЦЕНКА   НАРКОТИЗАЦИИ</w:t>
      </w:r>
    </w:p>
    <w:p w:rsidR="002A74C0" w:rsidRDefault="002A74C0" w:rsidP="002A74C0">
      <w:pPr>
        <w:shd w:val="clear" w:color="auto" w:fill="FFFFFF"/>
        <w:jc w:val="center"/>
        <w:rPr>
          <w:b/>
          <w:color w:val="000000"/>
        </w:rPr>
      </w:pPr>
    </w:p>
    <w:p w:rsidR="002A74C0" w:rsidRDefault="002A74C0" w:rsidP="002A74C0">
      <w:pPr>
        <w:shd w:val="clear" w:color="auto" w:fill="FFFFFF"/>
        <w:ind w:firstLine="70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Долгосрочные исследования, проводимые в последние 30 лет, показали, что развитие наркомании обусловлено многочисленными внутренними и «средовыми» факторами риска. Более того, факты свидетельствуют о том, что вероятность развития наркотической зависимости выше у тех людей, которые подвергаются одновременному воздействию нескольких факторов.</w:t>
      </w:r>
    </w:p>
    <w:p w:rsidR="002A74C0" w:rsidRDefault="002A74C0" w:rsidP="002A74C0">
      <w:pPr>
        <w:shd w:val="clear" w:color="auto" w:fill="FFFFFF"/>
        <w:ind w:firstLine="70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Определение факторов риска наркомании позволяет снизить или вовсе исключить их активность, снизить уровень распространения и тяжесть последствий наркомании. Эффективность подхода, основанного на анализе факторов риска, подтверждается исследованиями профилактических программ. Эти исследования доказывают, что программы, нацеленные на уменьшение активности факторов риска и повышение активности защитных факторов, дают хорошие результаты в предотвращении употребления ПАВ.</w:t>
      </w:r>
    </w:p>
    <w:p w:rsidR="002A74C0" w:rsidRDefault="002A74C0" w:rsidP="002A74C0">
      <w:pPr>
        <w:shd w:val="clear" w:color="auto" w:fill="FFFFFF"/>
        <w:ind w:firstLine="70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Эффективность профилактики с этих позиций определяется влиянием факторов риска и защиты в четырех областях: общество, школа, семья и группа сверстников (индивид). Примерами факторов риска может служить доступность наркотических средств (общество), семейный конфликт (семья), недостаточная заинтересованность в школьной жизни (школа), раннее начало употребления наркотиков (группа сверстников). В свою очередь факторы защиты связаны с уменьшением вероятности проявления «нездорового» стиля поведения (</w:t>
      </w:r>
      <w:r>
        <w:rPr>
          <w:color w:val="000000"/>
          <w:sz w:val="24"/>
          <w:szCs w:val="24"/>
          <w:lang w:val="en-US"/>
        </w:rPr>
        <w:t>NIDA</w:t>
      </w:r>
      <w:r>
        <w:rPr>
          <w:color w:val="000000"/>
          <w:sz w:val="24"/>
          <w:szCs w:val="24"/>
        </w:rPr>
        <w:t xml:space="preserve">, 1997). Считается, что влияя на факторы риска и защиты, </w:t>
      </w:r>
      <w:proofErr w:type="gramStart"/>
      <w:r>
        <w:rPr>
          <w:color w:val="000000"/>
          <w:sz w:val="24"/>
          <w:szCs w:val="24"/>
        </w:rPr>
        <w:t>возможно</w:t>
      </w:r>
      <w:proofErr w:type="gramEnd"/>
      <w:r>
        <w:rPr>
          <w:color w:val="000000"/>
          <w:sz w:val="24"/>
          <w:szCs w:val="24"/>
        </w:rPr>
        <w:t xml:space="preserve"> снизить злоупотребление ПАВ среди подростков.</w:t>
      </w:r>
    </w:p>
    <w:p w:rsidR="002A74C0" w:rsidRDefault="002A74C0" w:rsidP="002A74C0">
      <w:pPr>
        <w:shd w:val="clear" w:color="auto" w:fill="FFFFFF"/>
        <w:ind w:firstLine="706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В основе модели факторов риска и защиты лежит процесс определения показателей (факторов), влияющих на вероятность приобщения человека к сфере потребления наркотиков и связанных с этим проблем, и работа с этими выделенными для данной территории на данный момент времени факторами.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Безусловно, в жизни человека присутствуют как факторы риска, так и факторы защиты. Таким образом, в самых общих чертах, вся работа по профилактике основывается на снижении активности факторов риска и повышении действенности защитных факторов.</w:t>
      </w:r>
    </w:p>
    <w:p w:rsidR="002A74C0" w:rsidRDefault="002A74C0" w:rsidP="002A74C0">
      <w:pPr>
        <w:shd w:val="clear" w:color="auto" w:fill="FFFFFF"/>
        <w:ind w:firstLine="706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Традиционно факторы риска и защиты разделяют на три группы: «личные», «семейные» и «социальные». Последние, в свою очередь, можно разделить на затрагивающие среду друзей (ближнее окружение), </w:t>
      </w:r>
      <w:proofErr w:type="spellStart"/>
      <w:r>
        <w:rPr>
          <w:color w:val="000000"/>
          <w:sz w:val="24"/>
          <w:szCs w:val="24"/>
        </w:rPr>
        <w:t>общесоциальные</w:t>
      </w:r>
      <w:proofErr w:type="spellEnd"/>
      <w:r>
        <w:rPr>
          <w:color w:val="000000"/>
          <w:sz w:val="24"/>
          <w:szCs w:val="24"/>
        </w:rPr>
        <w:t xml:space="preserve"> и «школьные», которые мы выделяем особо, ведя разговор о подростках. Приведем перечень наиболее важных, по мнению исследователей, факторов риска и защиты.</w:t>
      </w:r>
    </w:p>
    <w:p w:rsidR="002A74C0" w:rsidRDefault="002A74C0" w:rsidP="002A74C0">
      <w:pPr>
        <w:shd w:val="clear" w:color="auto" w:fill="FFFFFF"/>
        <w:ind w:firstLine="706"/>
        <w:jc w:val="both"/>
        <w:rPr>
          <w:sz w:val="24"/>
          <w:szCs w:val="24"/>
        </w:rPr>
      </w:pPr>
      <w:r>
        <w:rPr>
          <w:i/>
          <w:color w:val="000000"/>
          <w:w w:val="112"/>
          <w:sz w:val="24"/>
          <w:szCs w:val="24"/>
        </w:rPr>
        <w:t>1.</w:t>
      </w:r>
      <w:r>
        <w:rPr>
          <w:color w:val="000000"/>
          <w:w w:val="112"/>
          <w:sz w:val="24"/>
          <w:szCs w:val="24"/>
        </w:rPr>
        <w:t xml:space="preserve"> </w:t>
      </w:r>
      <w:r>
        <w:rPr>
          <w:i/>
          <w:iCs/>
          <w:color w:val="000000"/>
          <w:w w:val="112"/>
          <w:sz w:val="24"/>
          <w:szCs w:val="24"/>
        </w:rPr>
        <w:t xml:space="preserve">Личные факторы. </w:t>
      </w:r>
      <w:r>
        <w:rPr>
          <w:color w:val="000000"/>
          <w:sz w:val="24"/>
          <w:szCs w:val="24"/>
        </w:rPr>
        <w:t>Успешность в реализации своих стремлений, осознание жизненной перспективы, отношение к возможности употребления наркотиков, отношение к насилию, способы проявления протестных реакций, уровень эмоциональной зрелости, сформированная система ценностей и привязанностей, кризисные ситуации,  уровень притязаний и самооценка, наличие непреложных авторитетов.</w:t>
      </w:r>
    </w:p>
    <w:p w:rsidR="002A74C0" w:rsidRDefault="002A74C0" w:rsidP="002A74C0">
      <w:pPr>
        <w:shd w:val="clear" w:color="auto" w:fill="FFFFFF"/>
        <w:ind w:firstLine="706"/>
        <w:jc w:val="both"/>
        <w:rPr>
          <w:sz w:val="24"/>
          <w:szCs w:val="24"/>
        </w:rPr>
      </w:pPr>
      <w:r>
        <w:rPr>
          <w:i/>
          <w:iCs/>
          <w:color w:val="000000"/>
          <w:w w:val="112"/>
          <w:sz w:val="24"/>
          <w:szCs w:val="24"/>
        </w:rPr>
        <w:t xml:space="preserve">2. Семейные факторы. </w:t>
      </w:r>
      <w:proofErr w:type="gramStart"/>
      <w:r>
        <w:rPr>
          <w:color w:val="000000"/>
          <w:sz w:val="24"/>
          <w:szCs w:val="24"/>
        </w:rPr>
        <w:t xml:space="preserve">Система распределение ролей, прав и обязанностей в семье, система контроля, уровень конфликтности в семье, семейные традиции и отношение членов семьи к употреблению наркотиков и других </w:t>
      </w:r>
      <w:proofErr w:type="spellStart"/>
      <w:r>
        <w:rPr>
          <w:color w:val="000000"/>
          <w:sz w:val="24"/>
          <w:szCs w:val="24"/>
        </w:rPr>
        <w:t>психоактивных</w:t>
      </w:r>
      <w:proofErr w:type="spellEnd"/>
      <w:r>
        <w:rPr>
          <w:color w:val="000000"/>
          <w:sz w:val="24"/>
          <w:szCs w:val="24"/>
        </w:rPr>
        <w:t xml:space="preserve"> веществ, система отношений и уровень доверия между родителями и детьми, эмоциональный фон </w:t>
      </w:r>
      <w:r>
        <w:rPr>
          <w:color w:val="000000"/>
          <w:sz w:val="24"/>
          <w:szCs w:val="24"/>
        </w:rPr>
        <w:lastRenderedPageBreak/>
        <w:t>семьи, родительские ожидания, компетентность родителей в контексте воспитания и наличие единого подхода к воспитанию ребенка.</w:t>
      </w:r>
      <w:proofErr w:type="gramEnd"/>
    </w:p>
    <w:p w:rsidR="002A74C0" w:rsidRDefault="002A74C0" w:rsidP="002A74C0">
      <w:pPr>
        <w:shd w:val="clear" w:color="auto" w:fill="FFFFFF"/>
        <w:ind w:firstLine="706"/>
        <w:jc w:val="both"/>
        <w:rPr>
          <w:sz w:val="24"/>
          <w:szCs w:val="24"/>
        </w:rPr>
      </w:pPr>
      <w:r>
        <w:rPr>
          <w:color w:val="000000"/>
          <w:w w:val="112"/>
          <w:sz w:val="24"/>
          <w:szCs w:val="24"/>
        </w:rPr>
        <w:t xml:space="preserve">3. </w:t>
      </w:r>
      <w:r>
        <w:rPr>
          <w:i/>
          <w:iCs/>
          <w:color w:val="000000"/>
          <w:w w:val="112"/>
          <w:sz w:val="24"/>
          <w:szCs w:val="24"/>
        </w:rPr>
        <w:t xml:space="preserve">Среда сверстников. </w:t>
      </w:r>
      <w:r>
        <w:rPr>
          <w:color w:val="000000"/>
          <w:sz w:val="24"/>
          <w:szCs w:val="24"/>
        </w:rPr>
        <w:t xml:space="preserve">Отношение «значимого окружения» к употреблению наркотиков, уровень социальной приемлемости поведения и социально психологический климат подростковой группы, роль подростка в группе сверстников, широта круга общения, отношение подростковой группы </w:t>
      </w:r>
      <w:proofErr w:type="gramStart"/>
      <w:r>
        <w:rPr>
          <w:color w:val="000000"/>
          <w:sz w:val="24"/>
          <w:szCs w:val="24"/>
        </w:rPr>
        <w:t>ко</w:t>
      </w:r>
      <w:proofErr w:type="gramEnd"/>
      <w:r>
        <w:rPr>
          <w:color w:val="000000"/>
          <w:sz w:val="24"/>
          <w:szCs w:val="24"/>
        </w:rPr>
        <w:t xml:space="preserve"> взрослым, ценностные ориентиры подростковой группы.</w:t>
      </w:r>
    </w:p>
    <w:p w:rsidR="002A74C0" w:rsidRDefault="002A74C0" w:rsidP="002A74C0">
      <w:pPr>
        <w:shd w:val="clear" w:color="auto" w:fill="FFFFFF"/>
        <w:tabs>
          <w:tab w:val="left" w:pos="528"/>
        </w:tabs>
        <w:ind w:firstLine="706"/>
        <w:jc w:val="both"/>
        <w:rPr>
          <w:sz w:val="24"/>
          <w:szCs w:val="24"/>
        </w:rPr>
      </w:pPr>
      <w:r>
        <w:rPr>
          <w:i/>
          <w:iCs/>
          <w:color w:val="000000"/>
          <w:w w:val="112"/>
          <w:sz w:val="24"/>
          <w:szCs w:val="24"/>
        </w:rPr>
        <w:t>4.</w:t>
      </w:r>
      <w:r>
        <w:rPr>
          <w:i/>
          <w:iCs/>
          <w:color w:val="000000"/>
          <w:sz w:val="24"/>
          <w:szCs w:val="24"/>
        </w:rPr>
        <w:tab/>
      </w:r>
      <w:proofErr w:type="spellStart"/>
      <w:r>
        <w:rPr>
          <w:i/>
          <w:iCs/>
          <w:color w:val="000000"/>
          <w:w w:val="112"/>
          <w:sz w:val="24"/>
          <w:szCs w:val="24"/>
        </w:rPr>
        <w:t>Общесоциальные</w:t>
      </w:r>
      <w:proofErr w:type="spellEnd"/>
      <w:r>
        <w:rPr>
          <w:i/>
          <w:iCs/>
          <w:color w:val="000000"/>
          <w:w w:val="112"/>
          <w:sz w:val="24"/>
          <w:szCs w:val="24"/>
        </w:rPr>
        <w:t xml:space="preserve"> факторы. </w:t>
      </w:r>
      <w:r>
        <w:rPr>
          <w:color w:val="000000"/>
          <w:sz w:val="24"/>
          <w:szCs w:val="24"/>
        </w:rPr>
        <w:t xml:space="preserve">Нормы, политика и законодательство в отношении наркотиков, законодательство в области молодежной политики, доступность наркотиков, развитость системы социально-психологической помощи молодежи, уровень </w:t>
      </w:r>
      <w:proofErr w:type="spellStart"/>
      <w:r>
        <w:rPr>
          <w:color w:val="000000"/>
          <w:sz w:val="24"/>
          <w:szCs w:val="24"/>
        </w:rPr>
        <w:t>дезорганизованности</w:t>
      </w:r>
      <w:proofErr w:type="spellEnd"/>
      <w:r>
        <w:rPr>
          <w:color w:val="000000"/>
          <w:sz w:val="24"/>
          <w:szCs w:val="24"/>
        </w:rPr>
        <w:t xml:space="preserve"> сообщества, распространенность насилия, общественные традиции, позиция средств массовой информации, организованность досуга, участие молодежи в общественной жизни.</w:t>
      </w:r>
    </w:p>
    <w:p w:rsidR="002A74C0" w:rsidRDefault="002A74C0" w:rsidP="002A74C0">
      <w:pPr>
        <w:shd w:val="clear" w:color="auto" w:fill="FFFFFF"/>
        <w:tabs>
          <w:tab w:val="left" w:pos="528"/>
        </w:tabs>
        <w:ind w:firstLine="706"/>
        <w:jc w:val="both"/>
        <w:rPr>
          <w:sz w:val="24"/>
          <w:szCs w:val="24"/>
        </w:rPr>
      </w:pPr>
      <w:r>
        <w:rPr>
          <w:color w:val="000000"/>
          <w:w w:val="131"/>
          <w:sz w:val="24"/>
          <w:szCs w:val="24"/>
        </w:rPr>
        <w:t>5.</w:t>
      </w:r>
      <w:r>
        <w:rPr>
          <w:color w:val="000000"/>
          <w:sz w:val="24"/>
          <w:szCs w:val="24"/>
        </w:rPr>
        <w:tab/>
      </w:r>
      <w:r>
        <w:rPr>
          <w:i/>
          <w:iCs/>
          <w:color w:val="000000"/>
          <w:w w:val="112"/>
          <w:sz w:val="24"/>
          <w:szCs w:val="24"/>
        </w:rPr>
        <w:t xml:space="preserve">«Школьные» факторы. </w:t>
      </w:r>
      <w:r>
        <w:rPr>
          <w:color w:val="000000"/>
          <w:sz w:val="24"/>
          <w:szCs w:val="24"/>
        </w:rPr>
        <w:t>Успеваемость, частые переходы из школы в школу, участие педагогов в воспитательном процессе и принятая в школе система воспитания, отношения с учителями (уровень доверия), социально-психологический климат, участие педагогов в профилактике, связь между семьей и школой, участие в школьном самоуправлении, желание учиться, регулярное посещение школы.</w:t>
      </w:r>
    </w:p>
    <w:p w:rsidR="002A74C0" w:rsidRDefault="002A74C0" w:rsidP="002A74C0">
      <w:pPr>
        <w:shd w:val="clear" w:color="auto" w:fill="FFFFFF"/>
        <w:ind w:firstLine="70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Для исследования факторов риска предлагается использовать специальный исследовательский инструмент, который позволяет определить приоритеты в проведении профилактических программ (Шипицына Л.М., 2001, Санкт-Петербург). Он показывает за счет каких именно факторов на данной территории наиболее существенно повышается риск злоупотребления </w:t>
      </w:r>
      <w:proofErr w:type="spellStart"/>
      <w:r>
        <w:rPr>
          <w:color w:val="000000"/>
          <w:sz w:val="24"/>
          <w:szCs w:val="24"/>
        </w:rPr>
        <w:t>психоактивными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веществами</w:t>
      </w:r>
      <w:proofErr w:type="gramEnd"/>
      <w:r>
        <w:rPr>
          <w:color w:val="000000"/>
          <w:sz w:val="24"/>
          <w:szCs w:val="24"/>
        </w:rPr>
        <w:t xml:space="preserve"> и </w:t>
      </w:r>
      <w:proofErr w:type="gramStart"/>
      <w:r>
        <w:rPr>
          <w:color w:val="000000"/>
          <w:sz w:val="24"/>
          <w:szCs w:val="24"/>
        </w:rPr>
        <w:t>какими</w:t>
      </w:r>
      <w:proofErr w:type="gramEnd"/>
      <w:r>
        <w:rPr>
          <w:color w:val="000000"/>
          <w:sz w:val="24"/>
          <w:szCs w:val="24"/>
        </w:rPr>
        <w:t xml:space="preserve"> именно, то есть провести исходную оценку ситуации. </w:t>
      </w:r>
    </w:p>
    <w:p w:rsidR="002A74C0" w:rsidRDefault="002A74C0" w:rsidP="002A74C0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Цель исследования - выявление наиболее действенных факторов риска и защиты в проблеме злоупотребления наркотиками на территории.</w:t>
      </w:r>
    </w:p>
    <w:p w:rsidR="002A74C0" w:rsidRDefault="002A74C0" w:rsidP="002A74C0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Предмет исследования: выявление совокупности факторов риска и защиты от наркозависимости.</w:t>
      </w:r>
    </w:p>
    <w:p w:rsidR="002A74C0" w:rsidRDefault="002A74C0" w:rsidP="002A74C0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Подросткам предлагается ответить на вопросы анкеты (82 вопроса). Исследование носит анонимный характер. Подростки отмечают только свой пол и возраст. В инструкции подчеркивается важность личного мнения каждого подростка и необходимость ответов исходящих из собственных представлений о данной проблеме. Также отмечается необходимость независимой оценки, без вариантов совместного обсуждения между участниками исследования.</w:t>
      </w:r>
    </w:p>
    <w:p w:rsidR="002A74C0" w:rsidRDefault="002A74C0" w:rsidP="002A74C0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В инструкции подчеркивается важность личного мнения каждого подростка и необходимость ответов исходящих из собственных представлений о данной проблеме. Также отмечается необходимость независимой оценки, без вариантов совместного обсуждения между участниками исследования.</w:t>
      </w:r>
    </w:p>
    <w:p w:rsidR="002A74C0" w:rsidRDefault="002A74C0" w:rsidP="002A74C0">
      <w:pPr>
        <w:shd w:val="clear" w:color="auto" w:fill="FFFFFF"/>
        <w:ind w:firstLine="708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Для обработки результатов </w:t>
      </w:r>
      <w:r>
        <w:rPr>
          <w:b/>
          <w:color w:val="000000"/>
          <w:sz w:val="24"/>
          <w:szCs w:val="24"/>
        </w:rPr>
        <w:t>б</w:t>
      </w:r>
      <w:r>
        <w:rPr>
          <w:color w:val="000000"/>
          <w:sz w:val="24"/>
          <w:szCs w:val="24"/>
        </w:rPr>
        <w:t>ыли выделены следующие факторы риска и защиты:</w:t>
      </w:r>
    </w:p>
    <w:p w:rsidR="002A74C0" w:rsidRDefault="002A74C0" w:rsidP="002A74C0">
      <w:pPr>
        <w:shd w:val="clear" w:color="auto" w:fill="FFFFFF"/>
        <w:jc w:val="both"/>
        <w:outlineLvl w:val="0"/>
        <w:rPr>
          <w:b/>
          <w:i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1.   Семейные:</w:t>
      </w:r>
    </w:p>
    <w:p w:rsidR="002A74C0" w:rsidRDefault="002A74C0" w:rsidP="002A74C0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Отношения с родителями (вопросы 36, 74, 75, 76, 77, 78, 79) </w:t>
      </w:r>
    </w:p>
    <w:p w:rsidR="002A74C0" w:rsidRDefault="002A74C0" w:rsidP="002A74C0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Смена места жительства (вопросы 60, 65)</w:t>
      </w:r>
    </w:p>
    <w:p w:rsidR="002A74C0" w:rsidRDefault="002A74C0" w:rsidP="002A74C0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Система контроля в семье (вопросы 67, 70, 71, 72, 73)</w:t>
      </w:r>
    </w:p>
    <w:p w:rsidR="002A74C0" w:rsidRDefault="002A74C0" w:rsidP="002A74C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Конфликтность в семье (вопрос 69).</w:t>
      </w:r>
    </w:p>
    <w:p w:rsidR="002A74C0" w:rsidRDefault="002A74C0" w:rsidP="002A74C0">
      <w:pPr>
        <w:shd w:val="clear" w:color="auto" w:fill="FFFFFF"/>
        <w:jc w:val="both"/>
        <w:outlineLvl w:val="0"/>
        <w:rPr>
          <w:b/>
          <w:i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2.   Индивидуальные:</w:t>
      </w:r>
    </w:p>
    <w:p w:rsidR="002A74C0" w:rsidRDefault="002A74C0" w:rsidP="002A74C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Успешность (вопросы 10, 15)</w:t>
      </w:r>
    </w:p>
    <w:p w:rsidR="002A74C0" w:rsidRDefault="002A74C0" w:rsidP="002A74C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Отношение к употреблению </w:t>
      </w:r>
      <w:proofErr w:type="spellStart"/>
      <w:r>
        <w:rPr>
          <w:color w:val="000000"/>
          <w:sz w:val="24"/>
          <w:szCs w:val="24"/>
        </w:rPr>
        <w:t>психоактивных</w:t>
      </w:r>
      <w:proofErr w:type="spellEnd"/>
      <w:r>
        <w:rPr>
          <w:color w:val="000000"/>
          <w:sz w:val="24"/>
          <w:szCs w:val="24"/>
        </w:rPr>
        <w:t xml:space="preserve"> веществ (вопросы 30, 31, 34, 38, 43, 44, 45, 46)</w:t>
      </w:r>
    </w:p>
    <w:p w:rsidR="002A74C0" w:rsidRDefault="002A74C0" w:rsidP="002A74C0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Отношение к насилию (вопросы 26, 27, 37)</w:t>
      </w:r>
    </w:p>
    <w:p w:rsidR="002A74C0" w:rsidRDefault="002A74C0" w:rsidP="002A74C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Протестные реакции (вопрос 28)</w:t>
      </w:r>
    </w:p>
    <w:p w:rsidR="002A74C0" w:rsidRDefault="002A74C0" w:rsidP="002A74C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Наличие позитивных жизненных ориентиров (вопросы 32, 33, 40, 41, 42)</w:t>
      </w:r>
    </w:p>
    <w:p w:rsidR="002A74C0" w:rsidRDefault="002A74C0" w:rsidP="002A74C0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Опыт употребления </w:t>
      </w:r>
      <w:proofErr w:type="spellStart"/>
      <w:r>
        <w:rPr>
          <w:color w:val="000000"/>
          <w:sz w:val="24"/>
          <w:szCs w:val="24"/>
        </w:rPr>
        <w:t>психоактивных</w:t>
      </w:r>
      <w:proofErr w:type="spellEnd"/>
      <w:r>
        <w:rPr>
          <w:color w:val="000000"/>
          <w:sz w:val="24"/>
          <w:szCs w:val="24"/>
        </w:rPr>
        <w:t xml:space="preserve"> веществ (вопросы 47, 48) </w:t>
      </w:r>
    </w:p>
    <w:p w:rsidR="002A74C0" w:rsidRDefault="002A74C0" w:rsidP="002A74C0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Наличие кризисных ситуаций (вопрос 66)</w:t>
      </w:r>
    </w:p>
    <w:p w:rsidR="002A74C0" w:rsidRDefault="002A74C0" w:rsidP="002A74C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Лозунг жизни (вопрос 82).</w:t>
      </w:r>
    </w:p>
    <w:p w:rsidR="002A74C0" w:rsidRDefault="002A74C0" w:rsidP="002A74C0">
      <w:pPr>
        <w:shd w:val="clear" w:color="auto" w:fill="FFFFFF"/>
        <w:jc w:val="both"/>
        <w:outlineLvl w:val="0"/>
        <w:rPr>
          <w:b/>
          <w:i/>
          <w:sz w:val="24"/>
          <w:szCs w:val="24"/>
        </w:rPr>
      </w:pPr>
      <w:r>
        <w:rPr>
          <w:b/>
          <w:i/>
          <w:iCs/>
          <w:color w:val="000000"/>
          <w:sz w:val="24"/>
          <w:szCs w:val="24"/>
        </w:rPr>
        <w:t xml:space="preserve">3.   </w:t>
      </w:r>
      <w:r>
        <w:rPr>
          <w:b/>
          <w:i/>
          <w:color w:val="000000"/>
          <w:sz w:val="24"/>
          <w:szCs w:val="24"/>
        </w:rPr>
        <w:t>Взаимоотношения со сверстниками:</w:t>
      </w:r>
    </w:p>
    <w:p w:rsidR="002A74C0" w:rsidRDefault="002A74C0" w:rsidP="002A74C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Влияние среды. Ассоциирование с асоциальным поведением (вопросы 20, 21, 22, 23, 24, 25, 35)</w:t>
      </w:r>
    </w:p>
    <w:p w:rsidR="002A74C0" w:rsidRDefault="002A74C0" w:rsidP="002A74C0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Социально - психологический климат микросреды (вопросы 63, 81). </w:t>
      </w:r>
    </w:p>
    <w:p w:rsidR="002A74C0" w:rsidRDefault="002A74C0" w:rsidP="002A74C0">
      <w:pPr>
        <w:shd w:val="clear" w:color="auto" w:fill="FFFFFF"/>
        <w:jc w:val="both"/>
        <w:outlineLvl w:val="0"/>
        <w:rPr>
          <w:b/>
          <w:i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4.   Общественные (социальные):</w:t>
      </w:r>
    </w:p>
    <w:p w:rsidR="002A74C0" w:rsidRDefault="002A74C0" w:rsidP="002A74C0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Участие в общественной деятельности (вопрос 29) </w:t>
      </w:r>
    </w:p>
    <w:p w:rsidR="002A74C0" w:rsidRDefault="002A74C0" w:rsidP="002A74C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Отношение к религии (вопрос 39)</w:t>
      </w:r>
    </w:p>
    <w:p w:rsidR="002A74C0" w:rsidRDefault="002A74C0" w:rsidP="002A74C0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Доступность </w:t>
      </w:r>
      <w:proofErr w:type="spellStart"/>
      <w:r>
        <w:rPr>
          <w:color w:val="000000"/>
          <w:sz w:val="24"/>
          <w:szCs w:val="24"/>
        </w:rPr>
        <w:t>психоактивных</w:t>
      </w:r>
      <w:proofErr w:type="spellEnd"/>
      <w:r>
        <w:rPr>
          <w:color w:val="000000"/>
          <w:sz w:val="24"/>
          <w:szCs w:val="24"/>
        </w:rPr>
        <w:t xml:space="preserve"> веществ (вопросы 49, 50, 51) </w:t>
      </w:r>
    </w:p>
    <w:p w:rsidR="002A74C0" w:rsidRDefault="002A74C0" w:rsidP="002A74C0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Социальная «близость» с потребителями </w:t>
      </w:r>
      <w:proofErr w:type="spellStart"/>
      <w:r>
        <w:rPr>
          <w:color w:val="000000"/>
          <w:sz w:val="24"/>
          <w:szCs w:val="24"/>
        </w:rPr>
        <w:t>психоактивных</w:t>
      </w:r>
      <w:proofErr w:type="spellEnd"/>
      <w:r>
        <w:rPr>
          <w:color w:val="000000"/>
          <w:sz w:val="24"/>
          <w:szCs w:val="24"/>
        </w:rPr>
        <w:t xml:space="preserve"> веществ (вопросы 52, 53, 54, 68) </w:t>
      </w:r>
    </w:p>
    <w:p w:rsidR="002A74C0" w:rsidRDefault="002A74C0" w:rsidP="002A74C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Связь с микросоциумом (вопросы 55, 56, 57, 58, 59, 61)</w:t>
      </w:r>
    </w:p>
    <w:p w:rsidR="002A74C0" w:rsidRDefault="002A74C0" w:rsidP="002A74C0">
      <w:pPr>
        <w:shd w:val="clear" w:color="auto" w:fill="FFFFFF"/>
        <w:jc w:val="both"/>
        <w:outlineLvl w:val="0"/>
        <w:rPr>
          <w:b/>
          <w:i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5.   Школьные:</w:t>
      </w:r>
    </w:p>
    <w:p w:rsidR="002A74C0" w:rsidRDefault="002A74C0" w:rsidP="002A74C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Успеваемость (вопросы 6, 16)</w:t>
      </w:r>
    </w:p>
    <w:p w:rsidR="002A74C0" w:rsidRDefault="002A74C0" w:rsidP="002A74C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Посещаемость (вопрос 7)</w:t>
      </w:r>
    </w:p>
    <w:p w:rsidR="002A74C0" w:rsidRDefault="002A74C0" w:rsidP="002A74C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Участие в школьном самоуправлении (вопросы 8, 9, 17, 18)</w:t>
      </w:r>
    </w:p>
    <w:p w:rsidR="002A74C0" w:rsidRDefault="002A74C0" w:rsidP="002A74C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Организация школьного досуга (вопрос 11)</w:t>
      </w:r>
    </w:p>
    <w:p w:rsidR="002A74C0" w:rsidRDefault="002A74C0" w:rsidP="002A74C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Отношения с учителями (вопросы 12, 80)</w:t>
      </w:r>
    </w:p>
    <w:p w:rsidR="002A74C0" w:rsidRDefault="002A74C0" w:rsidP="002A74C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Социально-психологический климат (вопрос 13)</w:t>
      </w:r>
    </w:p>
    <w:p w:rsidR="002A74C0" w:rsidRDefault="002A74C0" w:rsidP="002A74C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Интерес к учебе (вопрос 19)</w:t>
      </w:r>
    </w:p>
    <w:p w:rsidR="002A74C0" w:rsidRDefault="002A74C0" w:rsidP="002A74C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Смена школы (вопрос 62, 64)</w:t>
      </w:r>
    </w:p>
    <w:p w:rsidR="002A74C0" w:rsidRDefault="002A74C0" w:rsidP="002A74C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Связь семьи и школы (вопрос 14).</w:t>
      </w:r>
    </w:p>
    <w:p w:rsidR="00D24A8F" w:rsidRDefault="00D24A8F"/>
    <w:sectPr w:rsidR="00D24A8F" w:rsidSect="00D2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568A2"/>
    <w:multiLevelType w:val="hybridMultilevel"/>
    <w:tmpl w:val="2B084C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A74C0"/>
    <w:rsid w:val="00161DB2"/>
    <w:rsid w:val="002A74C0"/>
    <w:rsid w:val="003A1715"/>
    <w:rsid w:val="00D24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4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A74C0"/>
    <w:pPr>
      <w:spacing w:before="90" w:after="90"/>
      <w:ind w:left="90" w:right="90"/>
    </w:pPr>
    <w:rPr>
      <w:rFonts w:ascii="Arial" w:hAnsi="Arial" w:cs="Arial"/>
      <w:sz w:val="15"/>
      <w:szCs w:val="15"/>
    </w:rPr>
  </w:style>
  <w:style w:type="character" w:styleId="a4">
    <w:name w:val="Strong"/>
    <w:basedOn w:val="a0"/>
    <w:qFormat/>
    <w:rsid w:val="002A74C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0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1086</Words>
  <Characters>6195</Characters>
  <Application>Microsoft Office Word</Application>
  <DocSecurity>0</DocSecurity>
  <Lines>51</Lines>
  <Paragraphs>14</Paragraphs>
  <ScaleCrop>false</ScaleCrop>
  <Company>SPecialiST RePack</Company>
  <LinksUpToDate>false</LinksUpToDate>
  <CharactersWithSpaces>7267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rasen999</dc:creator>
  <cp:keywords/>
  <dc:description/>
  <cp:lastModifiedBy>Дом</cp:lastModifiedBy>
  <cp:revision>4</cp:revision>
  <dcterms:created xsi:type="dcterms:W3CDTF">2017-08-11T10:41:00Z</dcterms:created>
  <dcterms:modified xsi:type="dcterms:W3CDTF">2017-09-06T13:28:00Z</dcterms:modified>
</cp:coreProperties>
</file>